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5" w:rsidRDefault="00202DB5" w:rsidP="002B7F3F">
      <w:pPr>
        <w:adjustRightInd w:val="0"/>
        <w:snapToGrid w:val="0"/>
        <w:spacing w:line="600" w:lineRule="exact"/>
        <w:rPr>
          <w:rFonts w:ascii="方正小标宋简体" w:eastAsia="方正小标宋简体" w:cs="Times New Roman"/>
          <w:sz w:val="36"/>
          <w:szCs w:val="36"/>
        </w:rPr>
      </w:pPr>
    </w:p>
    <w:p w:rsidR="00202DB5" w:rsidRPr="001A0994" w:rsidRDefault="00202DB5" w:rsidP="005D0C1C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河南省政府采购</w:t>
      </w:r>
      <w:r w:rsidRPr="001A0994">
        <w:rPr>
          <w:rFonts w:ascii="方正小标宋简体" w:eastAsia="方正小标宋简体" w:cs="方正小标宋简体" w:hint="eastAsia"/>
          <w:sz w:val="36"/>
          <w:szCs w:val="36"/>
        </w:rPr>
        <w:t>网上商城</w:t>
      </w:r>
      <w:r w:rsidR="001E06B5">
        <w:rPr>
          <w:rFonts w:ascii="方正小标宋简体" w:eastAsia="方正小标宋简体" w:cs="方正小标宋简体" w:hint="eastAsia"/>
          <w:sz w:val="36"/>
          <w:szCs w:val="36"/>
        </w:rPr>
        <w:t>电商</w:t>
      </w:r>
      <w:r w:rsidRPr="001A0994">
        <w:rPr>
          <w:rFonts w:ascii="方正小标宋简体" w:eastAsia="方正小标宋简体" w:cs="方正小标宋简体" w:hint="eastAsia"/>
          <w:sz w:val="36"/>
          <w:szCs w:val="36"/>
        </w:rPr>
        <w:t>评价</w:t>
      </w:r>
      <w:r>
        <w:rPr>
          <w:rFonts w:ascii="方正小标宋简体" w:eastAsia="方正小标宋简体" w:cs="方正小标宋简体" w:hint="eastAsia"/>
          <w:sz w:val="36"/>
          <w:szCs w:val="36"/>
        </w:rPr>
        <w:t>规则</w:t>
      </w:r>
    </w:p>
    <w:p w:rsidR="00202DB5" w:rsidRPr="002B7F3F" w:rsidRDefault="00202DB5" w:rsidP="001E06B5">
      <w:pPr>
        <w:adjustRightInd w:val="0"/>
        <w:snapToGrid w:val="0"/>
        <w:spacing w:line="600" w:lineRule="exact"/>
        <w:ind w:leftChars="200" w:left="420"/>
        <w:rPr>
          <w:rFonts w:ascii="仿宋_GB2312" w:eastAsia="仿宋_GB2312" w:cs="Times New Roman"/>
          <w:sz w:val="32"/>
          <w:szCs w:val="32"/>
        </w:rPr>
      </w:pPr>
    </w:p>
    <w:p w:rsidR="00202DB5" w:rsidRPr="002B7F3F" w:rsidRDefault="00202DB5" w:rsidP="001E06B5">
      <w:pPr>
        <w:pStyle w:val="1"/>
        <w:adjustRightInd w:val="0"/>
        <w:snapToGrid w:val="0"/>
        <w:spacing w:before="0" w:after="0" w:line="600" w:lineRule="exact"/>
        <w:ind w:leftChars="200" w:left="420" w:firstLineChars="200" w:firstLine="640"/>
        <w:rPr>
          <w:rFonts w:ascii="黑体" w:eastAsia="黑体" w:cs="Times New Roman"/>
          <w:b w:val="0"/>
          <w:bCs w:val="0"/>
          <w:sz w:val="32"/>
          <w:szCs w:val="32"/>
        </w:rPr>
      </w:pPr>
      <w:r>
        <w:rPr>
          <w:rFonts w:ascii="黑体" w:eastAsia="黑体" w:cs="黑体" w:hint="eastAsia"/>
          <w:b w:val="0"/>
          <w:bCs w:val="0"/>
          <w:sz w:val="32"/>
          <w:szCs w:val="32"/>
        </w:rPr>
        <w:t>一</w:t>
      </w:r>
      <w:r w:rsidRPr="002B7F3F">
        <w:rPr>
          <w:rFonts w:ascii="黑体" w:eastAsia="黑体" w:cs="黑体" w:hint="eastAsia"/>
          <w:b w:val="0"/>
          <w:bCs w:val="0"/>
          <w:sz w:val="32"/>
          <w:szCs w:val="32"/>
        </w:rPr>
        <w:t>、评价</w:t>
      </w:r>
      <w:r>
        <w:rPr>
          <w:rFonts w:ascii="黑体" w:eastAsia="黑体" w:cs="黑体" w:hint="eastAsia"/>
          <w:b w:val="0"/>
          <w:bCs w:val="0"/>
          <w:sz w:val="32"/>
          <w:szCs w:val="32"/>
        </w:rPr>
        <w:t>规则</w:t>
      </w:r>
    </w:p>
    <w:p w:rsidR="00202DB5" w:rsidRPr="002B7F3F" w:rsidRDefault="00202DB5" w:rsidP="001E06B5">
      <w:pPr>
        <w:adjustRightInd w:val="0"/>
        <w:snapToGrid w:val="0"/>
        <w:spacing w:line="600" w:lineRule="exact"/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河南省政府采购</w:t>
      </w:r>
      <w:r w:rsidRPr="002B7F3F">
        <w:rPr>
          <w:rFonts w:ascii="仿宋_GB2312" w:eastAsia="仿宋_GB2312" w:cs="仿宋_GB2312" w:hint="eastAsia"/>
          <w:sz w:val="32"/>
          <w:szCs w:val="32"/>
        </w:rPr>
        <w:t>网上商城</w:t>
      </w:r>
      <w:r w:rsidR="001E06B5">
        <w:rPr>
          <w:rFonts w:ascii="仿宋_GB2312" w:eastAsia="仿宋_GB2312" w:cs="仿宋_GB2312" w:hint="eastAsia"/>
          <w:sz w:val="32"/>
          <w:szCs w:val="32"/>
        </w:rPr>
        <w:t>电</w:t>
      </w:r>
      <w:r>
        <w:rPr>
          <w:rFonts w:ascii="仿宋_GB2312" w:eastAsia="仿宋_GB2312" w:cs="仿宋_GB2312" w:hint="eastAsia"/>
          <w:sz w:val="32"/>
          <w:szCs w:val="32"/>
        </w:rPr>
        <w:t>商</w:t>
      </w:r>
      <w:r w:rsidRPr="002B7F3F">
        <w:rPr>
          <w:rFonts w:ascii="仿宋_GB2312" w:eastAsia="仿宋_GB2312" w:cs="仿宋_GB2312" w:hint="eastAsia"/>
          <w:sz w:val="32"/>
          <w:szCs w:val="32"/>
        </w:rPr>
        <w:t>评价体系由五部分</w:t>
      </w:r>
      <w:r>
        <w:rPr>
          <w:rFonts w:ascii="仿宋_GB2312" w:eastAsia="仿宋_GB2312" w:cs="仿宋_GB2312" w:hint="eastAsia"/>
          <w:sz w:val="32"/>
          <w:szCs w:val="32"/>
        </w:rPr>
        <w:t>评价指标</w:t>
      </w:r>
      <w:r w:rsidRPr="002B7F3F">
        <w:rPr>
          <w:rFonts w:ascii="仿宋_GB2312" w:eastAsia="仿宋_GB2312" w:cs="仿宋_GB2312" w:hint="eastAsia"/>
          <w:sz w:val="32"/>
          <w:szCs w:val="32"/>
        </w:rPr>
        <w:t>构成：用户服务、用户评价、商品信息管理、商城价格管理及其它管理。</w:t>
      </w:r>
    </w:p>
    <w:p w:rsidR="00202DB5" w:rsidRPr="002B7F3F" w:rsidRDefault="00202DB5" w:rsidP="001E06B5">
      <w:pPr>
        <w:adjustRightInd w:val="0"/>
        <w:snapToGrid w:val="0"/>
        <w:spacing w:line="600" w:lineRule="exact"/>
        <w:ind w:leftChars="200" w:left="420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/>
          <w:sz w:val="32"/>
          <w:szCs w:val="32"/>
        </w:rPr>
        <w:t xml:space="preserve">   </w:t>
      </w:r>
      <w:r w:rsidRPr="006577CE"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2B7F3F">
        <w:rPr>
          <w:rFonts w:ascii="仿宋_GB2312" w:eastAsia="仿宋_GB2312" w:cs="仿宋_GB2312" w:hint="eastAsia"/>
          <w:sz w:val="32"/>
          <w:szCs w:val="32"/>
        </w:rPr>
        <w:t>综合评价总分值设为</w:t>
      </w:r>
      <w:r w:rsidRPr="002B7F3F">
        <w:rPr>
          <w:rFonts w:ascii="仿宋_GB2312" w:eastAsia="仿宋_GB2312" w:cs="仿宋_GB2312"/>
          <w:sz w:val="32"/>
          <w:szCs w:val="32"/>
        </w:rPr>
        <w:t>100</w:t>
      </w:r>
      <w:r w:rsidRPr="002B7F3F">
        <w:rPr>
          <w:rFonts w:ascii="仿宋_GB2312" w:eastAsia="仿宋_GB2312" w:cs="仿宋_GB2312" w:hint="eastAsia"/>
          <w:sz w:val="32"/>
          <w:szCs w:val="32"/>
        </w:rPr>
        <w:t>分，其中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2B7F3F">
        <w:rPr>
          <w:rFonts w:ascii="仿宋_GB2312" w:eastAsia="仿宋_GB2312" w:cs="仿宋_GB2312" w:hint="eastAsia"/>
          <w:sz w:val="32"/>
          <w:szCs w:val="32"/>
        </w:rPr>
        <w:t>用户服务</w:t>
      </w:r>
      <w:r w:rsidRPr="002B7F3F">
        <w:rPr>
          <w:rFonts w:ascii="仿宋_GB2312" w:eastAsia="仿宋_GB2312" w:cs="仿宋_GB2312"/>
          <w:sz w:val="32"/>
          <w:szCs w:val="32"/>
        </w:rPr>
        <w:t>30</w:t>
      </w:r>
      <w:r w:rsidRPr="002B7F3F">
        <w:rPr>
          <w:rFonts w:ascii="仿宋_GB2312" w:eastAsia="仿宋_GB2312" w:cs="仿宋_GB2312" w:hint="eastAsia"/>
          <w:sz w:val="32"/>
          <w:szCs w:val="32"/>
        </w:rPr>
        <w:t>分、用户评价</w:t>
      </w:r>
      <w:r w:rsidRPr="002B7F3F">
        <w:rPr>
          <w:rFonts w:ascii="仿宋_GB2312" w:eastAsia="仿宋_GB2312" w:cs="仿宋_GB2312"/>
          <w:sz w:val="32"/>
          <w:szCs w:val="32"/>
        </w:rPr>
        <w:t>40</w:t>
      </w:r>
      <w:r w:rsidRPr="002B7F3F">
        <w:rPr>
          <w:rFonts w:ascii="仿宋_GB2312" w:eastAsia="仿宋_GB2312" w:cs="仿宋_GB2312" w:hint="eastAsia"/>
          <w:sz w:val="32"/>
          <w:szCs w:val="32"/>
        </w:rPr>
        <w:t>分、商品信息管理</w:t>
      </w:r>
      <w:r w:rsidRPr="002B7F3F">
        <w:rPr>
          <w:rFonts w:ascii="仿宋_GB2312" w:eastAsia="仿宋_GB2312" w:cs="仿宋_GB2312"/>
          <w:sz w:val="32"/>
          <w:szCs w:val="32"/>
        </w:rPr>
        <w:t>10</w:t>
      </w:r>
      <w:r w:rsidRPr="002B7F3F">
        <w:rPr>
          <w:rFonts w:ascii="仿宋_GB2312" w:eastAsia="仿宋_GB2312" w:cs="仿宋_GB2312" w:hint="eastAsia"/>
          <w:sz w:val="32"/>
          <w:szCs w:val="32"/>
        </w:rPr>
        <w:t>分、商城价格管理</w:t>
      </w:r>
      <w:r w:rsidRPr="002B7F3F">
        <w:rPr>
          <w:rFonts w:ascii="仿宋_GB2312" w:eastAsia="仿宋_GB2312" w:cs="仿宋_GB2312"/>
          <w:sz w:val="32"/>
          <w:szCs w:val="32"/>
        </w:rPr>
        <w:t>10</w:t>
      </w:r>
      <w:r w:rsidRPr="002B7F3F">
        <w:rPr>
          <w:rFonts w:ascii="仿宋_GB2312" w:eastAsia="仿宋_GB2312" w:cs="仿宋_GB2312" w:hint="eastAsia"/>
          <w:sz w:val="32"/>
          <w:szCs w:val="32"/>
        </w:rPr>
        <w:t>分、其他管理</w:t>
      </w:r>
      <w:r w:rsidRPr="002B7F3F">
        <w:rPr>
          <w:rFonts w:ascii="仿宋_GB2312" w:eastAsia="仿宋_GB2312" w:cs="仿宋_GB2312"/>
          <w:sz w:val="32"/>
          <w:szCs w:val="32"/>
        </w:rPr>
        <w:t>10</w:t>
      </w:r>
      <w:r w:rsidRPr="002B7F3F">
        <w:rPr>
          <w:rFonts w:ascii="仿宋_GB2312" w:eastAsia="仿宋_GB2312" w:cs="仿宋_GB2312" w:hint="eastAsia"/>
          <w:sz w:val="32"/>
          <w:szCs w:val="32"/>
        </w:rPr>
        <w:t>分。</w:t>
      </w:r>
      <w:r>
        <w:rPr>
          <w:rFonts w:ascii="仿宋_GB2312" w:eastAsia="仿宋_GB2312" w:cs="仿宋_GB2312" w:hint="eastAsia"/>
          <w:sz w:val="32"/>
          <w:szCs w:val="32"/>
        </w:rPr>
        <w:t>评价体系</w:t>
      </w:r>
      <w:r w:rsidRPr="002B7F3F">
        <w:rPr>
          <w:rFonts w:ascii="仿宋_GB2312" w:eastAsia="仿宋_GB2312" w:cs="仿宋_GB2312" w:hint="eastAsia"/>
          <w:sz w:val="32"/>
          <w:szCs w:val="32"/>
        </w:rPr>
        <w:t>采用初始</w:t>
      </w:r>
      <w:r>
        <w:rPr>
          <w:rFonts w:ascii="仿宋_GB2312" w:eastAsia="仿宋_GB2312" w:cs="仿宋_GB2312" w:hint="eastAsia"/>
          <w:sz w:val="32"/>
          <w:szCs w:val="32"/>
        </w:rPr>
        <w:t>满分</w:t>
      </w:r>
      <w:r w:rsidRPr="002B7F3F">
        <w:rPr>
          <w:rFonts w:ascii="仿宋_GB2312" w:eastAsia="仿宋_GB2312" w:cs="仿宋_GB2312" w:hint="eastAsia"/>
          <w:sz w:val="32"/>
          <w:szCs w:val="32"/>
        </w:rPr>
        <w:t>制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2B7F3F">
        <w:rPr>
          <w:rFonts w:ascii="仿宋_GB2312" w:eastAsia="仿宋_GB2312" w:cs="仿宋_GB2312" w:hint="eastAsia"/>
          <w:sz w:val="32"/>
          <w:szCs w:val="32"/>
        </w:rPr>
        <w:t>过程扣分制，分数扣完得分为</w:t>
      </w:r>
      <w:r w:rsidRPr="002B7F3F">
        <w:rPr>
          <w:rFonts w:ascii="仿宋_GB2312" w:eastAsia="仿宋_GB2312" w:cs="仿宋_GB2312"/>
          <w:sz w:val="32"/>
          <w:szCs w:val="32"/>
        </w:rPr>
        <w:t>0</w:t>
      </w:r>
      <w:r w:rsidRPr="002B7F3F">
        <w:rPr>
          <w:rFonts w:ascii="仿宋_GB2312" w:eastAsia="仿宋_GB2312" w:cs="仿宋_GB2312" w:hint="eastAsia"/>
          <w:sz w:val="32"/>
          <w:szCs w:val="32"/>
        </w:rPr>
        <w:t>。综合评价</w:t>
      </w:r>
      <w:r>
        <w:rPr>
          <w:rFonts w:ascii="仿宋_GB2312" w:eastAsia="仿宋_GB2312" w:cs="仿宋_GB2312" w:hint="eastAsia"/>
          <w:sz w:val="32"/>
          <w:szCs w:val="32"/>
        </w:rPr>
        <w:t>得分是按照</w:t>
      </w:r>
      <w:r w:rsidRPr="002B7F3F">
        <w:rPr>
          <w:rFonts w:ascii="仿宋_GB2312" w:eastAsia="仿宋_GB2312" w:cs="仿宋_GB2312" w:hint="eastAsia"/>
          <w:sz w:val="32"/>
          <w:szCs w:val="32"/>
        </w:rPr>
        <w:t>评价</w:t>
      </w:r>
      <w:r>
        <w:rPr>
          <w:rFonts w:ascii="仿宋_GB2312" w:eastAsia="仿宋_GB2312" w:cs="仿宋_GB2312" w:hint="eastAsia"/>
          <w:sz w:val="32"/>
          <w:szCs w:val="32"/>
        </w:rPr>
        <w:t>体系规则，对各</w:t>
      </w:r>
      <w:r w:rsidRPr="002B7F3F">
        <w:rPr>
          <w:rFonts w:ascii="仿宋_GB2312" w:eastAsia="仿宋_GB2312" w:cs="仿宋_GB2312" w:hint="eastAsia"/>
          <w:sz w:val="32"/>
          <w:szCs w:val="32"/>
        </w:rPr>
        <w:t>评价</w:t>
      </w:r>
      <w:r>
        <w:rPr>
          <w:rFonts w:ascii="仿宋_GB2312" w:eastAsia="仿宋_GB2312" w:cs="仿宋_GB2312" w:hint="eastAsia"/>
          <w:sz w:val="32"/>
          <w:szCs w:val="32"/>
        </w:rPr>
        <w:t>指标系统计算汇总</w:t>
      </w:r>
      <w:r w:rsidRPr="002B7F3F">
        <w:rPr>
          <w:rFonts w:ascii="仿宋_GB2312" w:eastAsia="仿宋_GB2312" w:cs="仿宋_GB2312" w:hint="eastAsia"/>
          <w:sz w:val="32"/>
          <w:szCs w:val="32"/>
        </w:rPr>
        <w:t>得出。</w:t>
      </w:r>
    </w:p>
    <w:p w:rsidR="00202DB5" w:rsidRDefault="00202DB5" w:rsidP="001E06B5">
      <w:pPr>
        <w:adjustRightInd w:val="0"/>
        <w:snapToGrid w:val="0"/>
        <w:spacing w:line="600" w:lineRule="exact"/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 w:hint="eastAsia"/>
          <w:sz w:val="32"/>
          <w:szCs w:val="32"/>
        </w:rPr>
        <w:t>除用户评价外，其他</w:t>
      </w:r>
      <w:r>
        <w:rPr>
          <w:rFonts w:ascii="仿宋_GB2312" w:eastAsia="仿宋_GB2312" w:cs="仿宋_GB2312" w:hint="eastAsia"/>
          <w:sz w:val="32"/>
          <w:szCs w:val="32"/>
        </w:rPr>
        <w:t>评价指标</w:t>
      </w:r>
      <w:r w:rsidRPr="002B7F3F">
        <w:rPr>
          <w:rFonts w:ascii="仿宋_GB2312" w:eastAsia="仿宋_GB2312" w:cs="仿宋_GB2312" w:hint="eastAsia"/>
          <w:sz w:val="32"/>
          <w:szCs w:val="32"/>
        </w:rPr>
        <w:t>每三个月为一个考核周期。</w:t>
      </w:r>
    </w:p>
    <w:p w:rsidR="00202DB5" w:rsidRDefault="00202DB5" w:rsidP="001E06B5">
      <w:pPr>
        <w:adjustRightInd w:val="0"/>
        <w:snapToGrid w:val="0"/>
        <w:spacing w:line="600" w:lineRule="exact"/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 w:hint="eastAsia"/>
          <w:sz w:val="32"/>
          <w:szCs w:val="32"/>
        </w:rPr>
        <w:t>在同一考核周期内，综合评价得分</w:t>
      </w:r>
      <w:r w:rsidRPr="002B7F3F">
        <w:rPr>
          <w:rFonts w:ascii="仿宋_GB2312" w:eastAsia="仿宋_GB2312" w:cs="仿宋_GB2312"/>
          <w:sz w:val="32"/>
          <w:szCs w:val="32"/>
        </w:rPr>
        <w:t>60(</w:t>
      </w:r>
      <w:r w:rsidRPr="002B7F3F">
        <w:rPr>
          <w:rFonts w:ascii="仿宋_GB2312" w:eastAsia="仿宋_GB2312" w:cs="仿宋_GB2312" w:hint="eastAsia"/>
          <w:sz w:val="32"/>
          <w:szCs w:val="32"/>
        </w:rPr>
        <w:t>含</w:t>
      </w:r>
      <w:r w:rsidRPr="002B7F3F">
        <w:rPr>
          <w:rFonts w:ascii="仿宋_GB2312" w:eastAsia="仿宋_GB2312" w:cs="仿宋_GB2312"/>
          <w:sz w:val="32"/>
          <w:szCs w:val="32"/>
        </w:rPr>
        <w:t>)</w:t>
      </w:r>
      <w:r w:rsidRPr="002B7F3F">
        <w:rPr>
          <w:rFonts w:ascii="仿宋_GB2312" w:eastAsia="仿宋_GB2312" w:cs="仿宋_GB2312" w:hint="eastAsia"/>
          <w:sz w:val="32"/>
          <w:szCs w:val="32"/>
        </w:rPr>
        <w:t>分以下，取消入围交易资格；在同一考核周期内，综合评价得分</w:t>
      </w:r>
      <w:r w:rsidRPr="002B7F3F">
        <w:rPr>
          <w:rFonts w:ascii="仿宋_GB2312" w:eastAsia="仿宋_GB2312" w:cs="仿宋_GB2312"/>
          <w:sz w:val="32"/>
          <w:szCs w:val="32"/>
        </w:rPr>
        <w:t>80(</w:t>
      </w:r>
      <w:r w:rsidRPr="002B7F3F">
        <w:rPr>
          <w:rFonts w:ascii="仿宋_GB2312" w:eastAsia="仿宋_GB2312" w:cs="仿宋_GB2312" w:hint="eastAsia"/>
          <w:sz w:val="32"/>
          <w:szCs w:val="32"/>
        </w:rPr>
        <w:t>含</w:t>
      </w:r>
      <w:r w:rsidRPr="002B7F3F">
        <w:rPr>
          <w:rFonts w:ascii="仿宋_GB2312" w:eastAsia="仿宋_GB2312" w:cs="仿宋_GB2312"/>
          <w:sz w:val="32"/>
          <w:szCs w:val="32"/>
        </w:rPr>
        <w:t>)</w:t>
      </w:r>
      <w:r w:rsidRPr="002B7F3F">
        <w:rPr>
          <w:rFonts w:ascii="仿宋_GB2312" w:eastAsia="仿宋_GB2312" w:cs="仿宋_GB2312" w:hint="eastAsia"/>
          <w:sz w:val="32"/>
          <w:szCs w:val="32"/>
        </w:rPr>
        <w:t>分以下，暂停交易三个月，</w:t>
      </w:r>
      <w:r>
        <w:rPr>
          <w:rFonts w:ascii="仿宋_GB2312" w:eastAsia="仿宋_GB2312" w:cs="仿宋_GB2312" w:hint="eastAsia"/>
          <w:sz w:val="32"/>
          <w:szCs w:val="32"/>
        </w:rPr>
        <w:t>责令</w:t>
      </w:r>
      <w:r w:rsidRPr="002B7F3F">
        <w:rPr>
          <w:rFonts w:ascii="仿宋_GB2312" w:eastAsia="仿宋_GB2312" w:cs="仿宋_GB2312" w:hint="eastAsia"/>
          <w:sz w:val="32"/>
          <w:szCs w:val="32"/>
        </w:rPr>
        <w:t>进行整改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202DB5" w:rsidRDefault="00202DB5" w:rsidP="001E06B5">
      <w:pPr>
        <w:adjustRightInd w:val="0"/>
        <w:snapToGrid w:val="0"/>
        <w:spacing w:line="600" w:lineRule="exact"/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 w:hint="eastAsia"/>
          <w:sz w:val="32"/>
          <w:szCs w:val="32"/>
        </w:rPr>
        <w:t>电商在考核周期内有其它违法违规行为的，由政府采购监管部门视具体情况给予约谈、责令改正、通报、下架商品、暂停交易、取消入围资格等处理。</w:t>
      </w:r>
    </w:p>
    <w:p w:rsidR="00202DB5" w:rsidRDefault="00202DB5" w:rsidP="001E06B5">
      <w:pPr>
        <w:adjustRightInd w:val="0"/>
        <w:snapToGrid w:val="0"/>
        <w:spacing w:line="600" w:lineRule="exact"/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河南省政府采购网上商城</w:t>
      </w:r>
      <w:r w:rsidR="001E06B5">
        <w:rPr>
          <w:rFonts w:ascii="仿宋_GB2312" w:eastAsia="仿宋_GB2312" w:cs="仿宋_GB2312" w:hint="eastAsia"/>
          <w:sz w:val="32"/>
          <w:szCs w:val="32"/>
        </w:rPr>
        <w:t>电商评</w:t>
      </w:r>
      <w:r>
        <w:rPr>
          <w:rFonts w:ascii="仿宋_GB2312" w:eastAsia="仿宋_GB2312" w:cs="仿宋_GB2312" w:hint="eastAsia"/>
          <w:sz w:val="32"/>
          <w:szCs w:val="32"/>
        </w:rPr>
        <w:t>价规则全省统一，评价分值全省汇总，评价结果全省通用。</w:t>
      </w:r>
    </w:p>
    <w:p w:rsidR="00202DB5" w:rsidRDefault="00202DB5" w:rsidP="008E12B0">
      <w:pPr>
        <w:adjustRightInd w:val="0"/>
        <w:snapToGrid w:val="0"/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202DB5" w:rsidRPr="008E12B0" w:rsidRDefault="00202DB5" w:rsidP="008E12B0">
      <w:pPr>
        <w:adjustRightInd w:val="0"/>
        <w:snapToGrid w:val="0"/>
        <w:spacing w:line="600" w:lineRule="exact"/>
        <w:rPr>
          <w:rFonts w:cs="Times New Roman"/>
          <w:sz w:val="28"/>
          <w:szCs w:val="28"/>
        </w:rPr>
        <w:sectPr w:rsidR="00202DB5" w:rsidRPr="008E12B0" w:rsidSect="00173AD6">
          <w:footerReference w:type="default" r:id="rId6"/>
          <w:pgSz w:w="11906" w:h="16838"/>
          <w:pgMar w:top="1440" w:right="1800" w:bottom="1440" w:left="1276" w:header="851" w:footer="992" w:gutter="0"/>
          <w:cols w:space="425"/>
          <w:docGrid w:type="lines" w:linePitch="312"/>
        </w:sectPr>
      </w:pPr>
    </w:p>
    <w:p w:rsidR="00202DB5" w:rsidRPr="00F20795" w:rsidRDefault="00202DB5" w:rsidP="00D72EEA">
      <w:pPr>
        <w:pStyle w:val="1"/>
        <w:jc w:val="left"/>
        <w:rPr>
          <w:rFonts w:ascii="黑体" w:eastAsia="黑体" w:cs="Times New Roman"/>
          <w:b w:val="0"/>
          <w:bCs w:val="0"/>
          <w:sz w:val="32"/>
          <w:szCs w:val="32"/>
        </w:rPr>
      </w:pPr>
      <w:r w:rsidRPr="00F20795">
        <w:rPr>
          <w:rFonts w:ascii="黑体" w:eastAsia="黑体" w:cs="黑体" w:hint="eastAsia"/>
          <w:b w:val="0"/>
          <w:bCs w:val="0"/>
          <w:sz w:val="32"/>
          <w:szCs w:val="32"/>
        </w:rPr>
        <w:lastRenderedPageBreak/>
        <w:t>二、评价指标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19"/>
        <w:gridCol w:w="3097"/>
        <w:gridCol w:w="5386"/>
        <w:gridCol w:w="1692"/>
        <w:gridCol w:w="759"/>
        <w:gridCol w:w="3426"/>
      </w:tblGrid>
      <w:tr w:rsidR="00202DB5" w:rsidRPr="004D2023">
        <w:trPr>
          <w:trHeight w:val="480"/>
          <w:tblHeader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9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纬度</w:t>
            </w: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指标项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指标说明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指标评价数据来源</w:t>
            </w:r>
          </w:p>
        </w:tc>
        <w:tc>
          <w:tcPr>
            <w:tcW w:w="759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分值（分）</w:t>
            </w: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分值计算方式</w:t>
            </w:r>
          </w:p>
        </w:tc>
      </w:tr>
      <w:tr w:rsidR="00202DB5" w:rsidRPr="004D2023">
        <w:trPr>
          <w:trHeight w:val="64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用户服务</w:t>
            </w: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未及时处理订单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个工作日内未明确回复采购单位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接收或拒绝订单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C929C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采购单位情况反映</w:t>
            </w:r>
          </w:p>
        </w:tc>
        <w:tc>
          <w:tcPr>
            <w:tcW w:w="759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，扣完为止</w:t>
            </w:r>
          </w:p>
        </w:tc>
      </w:tr>
      <w:tr w:rsidR="00202DB5" w:rsidRPr="004D2023">
        <w:trPr>
          <w:trHeight w:val="549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供货不及时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接收采购单位订单后，无正当理由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个工作日内未向采购单位交货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采购单位情况反映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，扣完为止</w:t>
            </w:r>
          </w:p>
        </w:tc>
      </w:tr>
      <w:tr w:rsidR="00202DB5" w:rsidRPr="004D2023">
        <w:trPr>
          <w:trHeight w:val="67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不执行采购订单（合同）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拒绝或未按承诺执行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已确认的订单（合同），包括但不限于发货、安装、保修、换货等履约条款。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采购单位情况反映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，扣完为止</w:t>
            </w:r>
          </w:p>
        </w:tc>
      </w:tr>
      <w:tr w:rsidR="00202DB5" w:rsidRPr="004D2023">
        <w:trPr>
          <w:trHeight w:val="477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未及时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推送订单相关信息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网上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商城管理办法要求对电子订单相关信息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向网上商城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进行推送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商城系统自动巡检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每订单每次，扣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发生商品质量问题未及时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解决处理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9C20A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提供给用户的商品在三包期发生质量问题不予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进行处理解决，进行责任推诿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；不支持</w:t>
            </w:r>
            <w:r w:rsidRPr="008978CF">
              <w:rPr>
                <w:rFonts w:ascii="宋体" w:hAnsi="宋体" w:cs="宋体" w:hint="eastAsia"/>
                <w:sz w:val="18"/>
                <w:szCs w:val="18"/>
              </w:rPr>
              <w:t>货到</w:t>
            </w:r>
            <w:r w:rsidRPr="008978CF">
              <w:rPr>
                <w:rFonts w:ascii="宋体" w:hAnsi="宋体" w:cs="宋体"/>
                <w:sz w:val="18"/>
                <w:szCs w:val="18"/>
              </w:rPr>
              <w:t>7</w:t>
            </w:r>
            <w:r w:rsidRPr="008978CF">
              <w:rPr>
                <w:rFonts w:ascii="宋体" w:hAnsi="宋体" w:cs="宋体" w:hint="eastAsia"/>
                <w:sz w:val="18"/>
                <w:szCs w:val="18"/>
              </w:rPr>
              <w:t>天无条件退换货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DF4CC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采购单位情况反映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，扣完为止</w:t>
            </w: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A0994" w:rsidRDefault="00202DB5" w:rsidP="00A2064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未在规定时间内完成商品上架工作</w:t>
            </w:r>
          </w:p>
        </w:tc>
        <w:tc>
          <w:tcPr>
            <w:tcW w:w="5386" w:type="dxa"/>
            <w:vAlign w:val="center"/>
          </w:tcPr>
          <w:p w:rsidR="00202DB5" w:rsidRPr="001A0994" w:rsidRDefault="00202DB5" w:rsidP="00A2064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入围后未在规定时间内未完成商品上架或上架不符合要求</w:t>
            </w:r>
          </w:p>
        </w:tc>
        <w:tc>
          <w:tcPr>
            <w:tcW w:w="1692" w:type="dxa"/>
            <w:vAlign w:val="center"/>
          </w:tcPr>
          <w:p w:rsidR="00202DB5" w:rsidRPr="001A0994" w:rsidRDefault="00202DB5" w:rsidP="00DF4CC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商城系统自动巡检</w:t>
            </w:r>
          </w:p>
        </w:tc>
        <w:tc>
          <w:tcPr>
            <w:tcW w:w="759" w:type="dxa"/>
            <w:vMerge/>
            <w:vAlign w:val="center"/>
          </w:tcPr>
          <w:p w:rsidR="00202DB5" w:rsidRPr="001A0994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A0994" w:rsidRDefault="00202DB5" w:rsidP="00A2064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该项未完成扣</w:t>
            </w:r>
            <w:r w:rsidRPr="001A099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扣完为止</w:t>
            </w: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A0994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未遵守服务承诺进行送货及安装等</w:t>
            </w:r>
          </w:p>
        </w:tc>
        <w:tc>
          <w:tcPr>
            <w:tcW w:w="5386" w:type="dxa"/>
            <w:vAlign w:val="center"/>
          </w:tcPr>
          <w:p w:rsidR="00202DB5" w:rsidRPr="00F71645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接收采购单位订单后，未遵守服务承诺无故不送货上门或未进行安装服务</w:t>
            </w:r>
          </w:p>
        </w:tc>
        <w:tc>
          <w:tcPr>
            <w:tcW w:w="1692" w:type="dxa"/>
            <w:vAlign w:val="center"/>
          </w:tcPr>
          <w:p w:rsidR="00202DB5" w:rsidRPr="001A0994" w:rsidRDefault="00202DB5" w:rsidP="00DF4CC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采购单位情况反映</w:t>
            </w:r>
          </w:p>
        </w:tc>
        <w:tc>
          <w:tcPr>
            <w:tcW w:w="759" w:type="dxa"/>
            <w:vMerge/>
            <w:vAlign w:val="center"/>
          </w:tcPr>
          <w:p w:rsidR="00202DB5" w:rsidRPr="001A0994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A0994" w:rsidRDefault="00202DB5" w:rsidP="00C929C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A099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扣完为止</w:t>
            </w: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716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由于电商技术问题影响商城正常运行</w:t>
            </w:r>
          </w:p>
        </w:tc>
        <w:tc>
          <w:tcPr>
            <w:tcW w:w="5386" w:type="dxa"/>
            <w:vAlign w:val="center"/>
          </w:tcPr>
          <w:p w:rsidR="00202DB5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716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如因电商在数据推送时，导致商城产品信息出错等影响商城正常运行的</w:t>
            </w:r>
          </w:p>
        </w:tc>
        <w:tc>
          <w:tcPr>
            <w:tcW w:w="1692" w:type="dxa"/>
            <w:vAlign w:val="center"/>
          </w:tcPr>
          <w:p w:rsidR="00202DB5" w:rsidRDefault="00202DB5" w:rsidP="00DF4CC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716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商城系统自动巡检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C929C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核实一次，扣</w:t>
            </w:r>
            <w:r w:rsidRPr="001A099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扣完为止</w:t>
            </w: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65F23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 w:rsidR="00202D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</w:t>
            </w:r>
            <w:r w:rsidR="00202DB5"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无专人</w:t>
            </w:r>
            <w:r w:rsidR="00202D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负责，</w:t>
            </w:r>
            <w:r w:rsidR="00202DB5"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或负责人员发生变动未向监管部门报备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安排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专人负责河南省政府采购网上商城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工作，或人员变动时未及时向监管部门进行报备</w:t>
            </w:r>
          </w:p>
        </w:tc>
        <w:tc>
          <w:tcPr>
            <w:tcW w:w="1692" w:type="dxa"/>
            <w:vAlign w:val="center"/>
          </w:tcPr>
          <w:p w:rsidR="00202DB5" w:rsidRPr="00173AD6" w:rsidRDefault="00202DB5" w:rsidP="00DF4CC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采购单位及监管部门情况反映</w:t>
            </w: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C929C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每次扣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1A09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扣完为止</w:t>
            </w:r>
          </w:p>
        </w:tc>
      </w:tr>
      <w:tr w:rsidR="00202DB5" w:rsidRPr="004D2023">
        <w:trPr>
          <w:trHeight w:val="603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用户评价</w:t>
            </w: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商品参数符合性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2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采购单位评价，系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统自动计算分值。</w:t>
            </w:r>
          </w:p>
        </w:tc>
        <w:tc>
          <w:tcPr>
            <w:tcW w:w="759" w:type="dxa"/>
            <w:vMerge w:val="restart"/>
            <w:vAlign w:val="center"/>
          </w:tcPr>
          <w:p w:rsidR="00202DB5" w:rsidRPr="001A0994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A099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426" w:type="dxa"/>
            <w:vMerge w:val="restart"/>
            <w:vAlign w:val="center"/>
          </w:tcPr>
          <w:p w:rsidR="00202DB5" w:rsidRDefault="00202DB5" w:rsidP="001A09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该项为用户评价，每项为五星制，单颗星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综合得分为：</w:t>
            </w:r>
          </w:p>
          <w:p w:rsidR="00202DB5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Sn=sum(n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)/sum(S1...S5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)*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分值</w:t>
            </w:r>
            <w:r w:rsidRPr="00173AD6"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</w:p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电商该项综合得分为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S=sum(S1...S5)</w:t>
            </w:r>
          </w:p>
        </w:tc>
      </w:tr>
      <w:tr w:rsidR="00202DB5" w:rsidRPr="004D2023">
        <w:trPr>
          <w:trHeight w:val="591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包装完整性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2DB5" w:rsidRPr="004D2023">
        <w:trPr>
          <w:trHeight w:val="62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物流配送及时性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2DB5" w:rsidRPr="004D2023">
        <w:trPr>
          <w:trHeight w:val="64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送货人员服务态度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2DB5" w:rsidRPr="004D2023">
        <w:trPr>
          <w:trHeight w:val="58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首次现场服务态度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02DB5" w:rsidRPr="004D2023">
        <w:trPr>
          <w:trHeight w:val="60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9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商品信息管理</w:t>
            </w: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无法与其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商城的商品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信息进行对比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与自有商城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链接为虚假链接或自有商城无此商品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链接</w:t>
            </w:r>
          </w:p>
        </w:tc>
        <w:tc>
          <w:tcPr>
            <w:tcW w:w="1692" w:type="dxa"/>
            <w:vMerge w:val="restart"/>
            <w:vAlign w:val="center"/>
          </w:tcPr>
          <w:p w:rsidR="00202DB5" w:rsidRPr="00173AD6" w:rsidRDefault="00202DB5" w:rsidP="006D173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商城系统自动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情况反应</w:t>
            </w:r>
          </w:p>
        </w:tc>
        <w:tc>
          <w:tcPr>
            <w:tcW w:w="759" w:type="dxa"/>
            <w:vMerge w:val="restart"/>
            <w:vAlign w:val="center"/>
          </w:tcPr>
          <w:p w:rsidR="00202DB5" w:rsidRPr="00173AD6" w:rsidRDefault="00202DB5" w:rsidP="00DF4CC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49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无货商品未及时下架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对于无货商品未及时进行下架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873C0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630"/>
          <w:jc w:val="center"/>
        </w:trPr>
        <w:tc>
          <w:tcPr>
            <w:tcW w:w="561" w:type="dxa"/>
            <w:vAlign w:val="center"/>
          </w:tcPr>
          <w:p w:rsidR="00202DB5" w:rsidRDefault="00202DB5" w:rsidP="00173AD6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上架商品其他</w:t>
            </w:r>
            <w:r w:rsidRPr="007F1B72">
              <w:rPr>
                <w:rFonts w:ascii="宋体" w:hAnsi="宋体" w:cs="宋体" w:hint="eastAsia"/>
                <w:sz w:val="18"/>
                <w:szCs w:val="18"/>
              </w:rPr>
              <w:t>市场</w:t>
            </w:r>
            <w:r>
              <w:rPr>
                <w:rFonts w:ascii="宋体" w:hAnsi="宋体" w:cs="宋体" w:hint="eastAsia"/>
                <w:sz w:val="18"/>
                <w:szCs w:val="18"/>
              </w:rPr>
              <w:t>没有销售</w:t>
            </w:r>
          </w:p>
        </w:tc>
        <w:tc>
          <w:tcPr>
            <w:tcW w:w="5386" w:type="dxa"/>
            <w:vAlign w:val="center"/>
          </w:tcPr>
          <w:p w:rsidR="00202DB5" w:rsidRPr="007F1B72" w:rsidRDefault="00202DB5" w:rsidP="007F1B72">
            <w:pPr>
              <w:ind w:right="-71"/>
              <w:rPr>
                <w:rFonts w:ascii="宋体" w:cs="Times New Roman"/>
                <w:sz w:val="18"/>
                <w:szCs w:val="18"/>
              </w:rPr>
            </w:pPr>
            <w:r w:rsidRPr="007F1B72">
              <w:rPr>
                <w:rFonts w:ascii="宋体" w:hAnsi="宋体" w:cs="宋体" w:hint="eastAsia"/>
                <w:sz w:val="18"/>
                <w:szCs w:val="18"/>
              </w:rPr>
              <w:t>面向社会大众的电商平台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7F1B72">
              <w:rPr>
                <w:rFonts w:ascii="宋体" w:hAnsi="宋体" w:cs="宋体"/>
                <w:sz w:val="18"/>
                <w:szCs w:val="18"/>
              </w:rPr>
              <w:t>3</w:t>
            </w:r>
            <w:r w:rsidRPr="007F1B72">
              <w:rPr>
                <w:rFonts w:ascii="宋体" w:hAnsi="宋体" w:cs="宋体" w:hint="eastAsia"/>
                <w:sz w:val="18"/>
                <w:szCs w:val="18"/>
              </w:rPr>
              <w:t>个以上</w:t>
            </w:r>
            <w:r>
              <w:rPr>
                <w:rFonts w:ascii="宋体" w:hAnsi="宋体" w:cs="宋体" w:hint="eastAsia"/>
                <w:sz w:val="18"/>
                <w:szCs w:val="18"/>
              </w:rPr>
              <w:t>）没有</w:t>
            </w:r>
            <w:r w:rsidRPr="007F1B72">
              <w:rPr>
                <w:rFonts w:ascii="宋体" w:hAnsi="宋体" w:cs="宋体" w:hint="eastAsia"/>
                <w:sz w:val="18"/>
                <w:szCs w:val="18"/>
              </w:rPr>
              <w:t>销售，或者河南区域之外的政府采购网上商城平台</w:t>
            </w:r>
            <w:r>
              <w:rPr>
                <w:rFonts w:ascii="宋体" w:hAnsi="宋体" w:cs="宋体" w:hint="eastAsia"/>
                <w:sz w:val="18"/>
                <w:szCs w:val="18"/>
              </w:rPr>
              <w:t>没有</w:t>
            </w:r>
            <w:r w:rsidRPr="007F1B72">
              <w:rPr>
                <w:rFonts w:ascii="宋体" w:hAnsi="宋体" w:cs="宋体" w:hint="eastAsia"/>
                <w:sz w:val="18"/>
                <w:szCs w:val="18"/>
              </w:rPr>
              <w:t>销售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873C0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780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9" w:type="dxa"/>
            <w:vMerge w:val="restart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商城价格管理</w:t>
            </w:r>
          </w:p>
        </w:tc>
        <w:tc>
          <w:tcPr>
            <w:tcW w:w="3097" w:type="dxa"/>
            <w:vAlign w:val="center"/>
          </w:tcPr>
          <w:p w:rsidR="00202DB5" w:rsidRPr="00173AD6" w:rsidRDefault="00202DB5" w:rsidP="00B53C9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提供的商品价格明显高于同期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主流电商同款商品平均价格（含税）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B53C9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政府采购网上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商品价格明显高于同期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主流电商同款商品的平均价格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2" w:type="dxa"/>
            <w:vMerge w:val="restart"/>
            <w:vAlign w:val="center"/>
          </w:tcPr>
          <w:p w:rsidR="00202DB5" w:rsidRPr="00173AD6" w:rsidRDefault="00202DB5" w:rsidP="00E816C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商城系统自动巡检、情况反映、</w:t>
            </w:r>
            <w:r w:rsidRPr="00173AD6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市场调查</w:t>
            </w:r>
          </w:p>
        </w:tc>
        <w:tc>
          <w:tcPr>
            <w:tcW w:w="759" w:type="dxa"/>
            <w:vMerge w:val="restart"/>
            <w:vAlign w:val="center"/>
          </w:tcPr>
          <w:p w:rsidR="00202DB5" w:rsidRPr="00173AD6" w:rsidRDefault="00202DB5" w:rsidP="00FD04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26" w:type="dxa"/>
            <w:vAlign w:val="center"/>
          </w:tcPr>
          <w:p w:rsidR="00202DB5" w:rsidRPr="00173AD6" w:rsidRDefault="00202DB5" w:rsidP="00982E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750"/>
          <w:jc w:val="center"/>
        </w:trPr>
        <w:tc>
          <w:tcPr>
            <w:tcW w:w="561" w:type="dxa"/>
            <w:vAlign w:val="center"/>
          </w:tcPr>
          <w:p w:rsidR="00202DB5" w:rsidRDefault="00202DB5" w:rsidP="00173AD6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173AD6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上架商品高于自有商城商品价格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CB1AE1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政府采购网上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商品价格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高于其自有商城商品最低报价</w:t>
            </w:r>
          </w:p>
        </w:tc>
        <w:tc>
          <w:tcPr>
            <w:tcW w:w="1692" w:type="dxa"/>
            <w:vMerge/>
            <w:vAlign w:val="center"/>
          </w:tcPr>
          <w:p w:rsidR="00202DB5" w:rsidRDefault="00202DB5" w:rsidP="00E816C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Default="00202DB5" w:rsidP="00FD04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6D00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461"/>
          <w:jc w:val="center"/>
        </w:trPr>
        <w:tc>
          <w:tcPr>
            <w:tcW w:w="561" w:type="dxa"/>
            <w:vAlign w:val="center"/>
          </w:tcPr>
          <w:p w:rsidR="00202DB5" w:rsidRDefault="00202DB5" w:rsidP="00173AD6">
            <w:pPr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Default="00202DB5" w:rsidP="00173AD6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上架商品高于厂商市场参考价</w:t>
            </w:r>
          </w:p>
        </w:tc>
        <w:tc>
          <w:tcPr>
            <w:tcW w:w="5386" w:type="dxa"/>
            <w:vAlign w:val="center"/>
          </w:tcPr>
          <w:p w:rsidR="00202DB5" w:rsidRPr="007F1B72" w:rsidRDefault="00202DB5" w:rsidP="00CB1AE1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政府采购网上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上架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商品价格</w:t>
            </w:r>
            <w:r w:rsidRPr="007F1B72">
              <w:rPr>
                <w:rFonts w:ascii="宋体" w:hAnsi="宋体" w:cs="宋体" w:hint="eastAsia"/>
                <w:kern w:val="0"/>
                <w:sz w:val="18"/>
                <w:szCs w:val="18"/>
              </w:rPr>
              <w:t>高于厂家发布的市场参考价格</w:t>
            </w:r>
          </w:p>
        </w:tc>
        <w:tc>
          <w:tcPr>
            <w:tcW w:w="1692" w:type="dxa"/>
            <w:vMerge/>
            <w:vAlign w:val="center"/>
          </w:tcPr>
          <w:p w:rsidR="00202DB5" w:rsidRDefault="00202DB5" w:rsidP="00E816C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Default="00202DB5" w:rsidP="00FD046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6D00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分，扣完为止</w:t>
            </w:r>
          </w:p>
        </w:tc>
      </w:tr>
      <w:tr w:rsidR="00202DB5" w:rsidRPr="004D2023">
        <w:trPr>
          <w:trHeight w:val="934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202DB5" w:rsidRPr="00173AD6" w:rsidRDefault="00202DB5" w:rsidP="00594D32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商品价格上调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594D32">
            <w:pPr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对商品价格进行上调进行扣分（如有特殊情况由监管部门视具体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情况而定）</w:t>
            </w:r>
          </w:p>
        </w:tc>
        <w:tc>
          <w:tcPr>
            <w:tcW w:w="1692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每商品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次扣</w:t>
            </w:r>
            <w:r w:rsidRPr="00173AD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73AD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，扣完为止</w:t>
            </w:r>
          </w:p>
        </w:tc>
      </w:tr>
      <w:tr w:rsidR="00202DB5" w:rsidRPr="004D2023">
        <w:trPr>
          <w:trHeight w:val="675"/>
          <w:jc w:val="center"/>
        </w:trPr>
        <w:tc>
          <w:tcPr>
            <w:tcW w:w="561" w:type="dxa"/>
            <w:vAlign w:val="center"/>
          </w:tcPr>
          <w:p w:rsidR="00202DB5" w:rsidRPr="00173AD6" w:rsidRDefault="00202DB5" w:rsidP="00173AD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19" w:type="dxa"/>
            <w:vAlign w:val="center"/>
          </w:tcPr>
          <w:p w:rsidR="00202DB5" w:rsidRPr="00FD046B" w:rsidRDefault="00202DB5" w:rsidP="00BA4E70">
            <w:pPr>
              <w:pStyle w:val="3"/>
              <w:rPr>
                <w:rFonts w:cs="Times New Roman"/>
                <w:kern w:val="0"/>
              </w:rPr>
            </w:pPr>
            <w:r w:rsidRPr="00FD046B">
              <w:rPr>
                <w:rFonts w:hint="eastAsia"/>
                <w:kern w:val="0"/>
              </w:rPr>
              <w:t>其它</w:t>
            </w:r>
          </w:p>
        </w:tc>
        <w:tc>
          <w:tcPr>
            <w:tcW w:w="3097" w:type="dxa"/>
            <w:vAlign w:val="center"/>
          </w:tcPr>
          <w:p w:rsidR="00202DB5" w:rsidRPr="00FD046B" w:rsidRDefault="00202DB5" w:rsidP="005A1BF0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社会各界反映问题处理</w:t>
            </w:r>
          </w:p>
        </w:tc>
        <w:tc>
          <w:tcPr>
            <w:tcW w:w="5386" w:type="dxa"/>
            <w:vAlign w:val="center"/>
          </w:tcPr>
          <w:p w:rsidR="00202DB5" w:rsidRPr="00173AD6" w:rsidRDefault="00202DB5" w:rsidP="00173AD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本规则中未列明，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社会各界举报、反映，经核查属实，本规则未进行扣分处理的事项</w:t>
            </w:r>
          </w:p>
        </w:tc>
        <w:tc>
          <w:tcPr>
            <w:tcW w:w="1692" w:type="dxa"/>
            <w:vAlign w:val="center"/>
          </w:tcPr>
          <w:p w:rsidR="00202DB5" w:rsidRPr="00FD046B" w:rsidRDefault="00202DB5" w:rsidP="00173AD6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社会各界</w:t>
            </w: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情况反应</w:t>
            </w:r>
          </w:p>
        </w:tc>
        <w:tc>
          <w:tcPr>
            <w:tcW w:w="759" w:type="dxa"/>
            <w:vAlign w:val="center"/>
          </w:tcPr>
          <w:p w:rsidR="00202DB5" w:rsidRPr="00FD046B" w:rsidRDefault="00202DB5" w:rsidP="00FE5E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FD046B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26" w:type="dxa"/>
            <w:vAlign w:val="center"/>
          </w:tcPr>
          <w:p w:rsidR="00202DB5" w:rsidRPr="00FD046B" w:rsidRDefault="00202DB5" w:rsidP="00173AD6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核查属实、</w:t>
            </w: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约谈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或通报</w:t>
            </w: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一次扣</w:t>
            </w:r>
            <w:r w:rsidRPr="00FD046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D046B"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</w:tr>
    </w:tbl>
    <w:p w:rsidR="00202DB5" w:rsidRDefault="00202DB5" w:rsidP="00D604F1">
      <w:pPr>
        <w:widowControl/>
        <w:jc w:val="left"/>
        <w:rPr>
          <w:rFonts w:cs="Times New Roman"/>
        </w:rPr>
        <w:sectPr w:rsidR="00202DB5" w:rsidSect="00173AD6">
          <w:pgSz w:w="16838" w:h="11906" w:orient="landscape"/>
          <w:pgMar w:top="1276" w:right="1440" w:bottom="1800" w:left="1440" w:header="851" w:footer="992" w:gutter="0"/>
          <w:cols w:space="425"/>
          <w:docGrid w:type="lines" w:linePitch="312"/>
        </w:sectPr>
      </w:pPr>
    </w:p>
    <w:p w:rsidR="00202DB5" w:rsidRPr="00F20795" w:rsidRDefault="00202DB5" w:rsidP="00173AD6">
      <w:pPr>
        <w:pStyle w:val="1"/>
        <w:rPr>
          <w:rFonts w:ascii="黑体" w:eastAsia="黑体" w:cs="Times New Roman"/>
          <w:b w:val="0"/>
          <w:bCs w:val="0"/>
          <w:sz w:val="32"/>
          <w:szCs w:val="32"/>
        </w:rPr>
      </w:pPr>
      <w:r w:rsidRPr="00F20795">
        <w:rPr>
          <w:rFonts w:ascii="黑体" w:eastAsia="黑体" w:cs="黑体" w:hint="eastAsia"/>
          <w:b w:val="0"/>
          <w:bCs w:val="0"/>
          <w:sz w:val="32"/>
          <w:szCs w:val="32"/>
        </w:rPr>
        <w:lastRenderedPageBreak/>
        <w:t>三、用户评价指标计算方式</w:t>
      </w:r>
    </w:p>
    <w:p w:rsidR="00202DB5" w:rsidRPr="002B7F3F" w:rsidRDefault="00202DB5" w:rsidP="00F8729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2B7F3F">
        <w:rPr>
          <w:rFonts w:ascii="仿宋_GB2312" w:eastAsia="仿宋_GB2312" w:cs="仿宋_GB2312" w:hint="eastAsia"/>
          <w:sz w:val="32"/>
          <w:szCs w:val="32"/>
        </w:rPr>
        <w:t>指标项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3562"/>
        <w:gridCol w:w="889"/>
        <w:gridCol w:w="3450"/>
      </w:tblGrid>
      <w:tr w:rsidR="00202DB5" w:rsidRPr="002B7F3F">
        <w:trPr>
          <w:trHeight w:val="623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562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指标项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星级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备注</w:t>
            </w:r>
          </w:p>
        </w:tc>
      </w:tr>
      <w:tr w:rsidR="00202DB5" w:rsidRPr="002B7F3F">
        <w:trPr>
          <w:trHeight w:val="538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B7F3F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562" w:type="dxa"/>
          </w:tcPr>
          <w:p w:rsidR="00202DB5" w:rsidRPr="002B7F3F" w:rsidRDefault="00202DB5" w:rsidP="00790C10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货物与订单描述符合性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五星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02DB5" w:rsidRPr="002B7F3F">
        <w:trPr>
          <w:trHeight w:val="623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B7F3F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562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商品包装完好性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五星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02DB5" w:rsidRPr="002B7F3F">
        <w:trPr>
          <w:trHeight w:val="623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B7F3F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562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物流配送及时性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五星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02DB5" w:rsidRPr="002B7F3F">
        <w:trPr>
          <w:trHeight w:val="623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B7F3F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62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送货人员服务态度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五星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02DB5" w:rsidRPr="002B7F3F">
        <w:trPr>
          <w:trHeight w:val="623"/>
          <w:jc w:val="center"/>
        </w:trPr>
        <w:tc>
          <w:tcPr>
            <w:tcW w:w="956" w:type="dxa"/>
          </w:tcPr>
          <w:p w:rsidR="00202DB5" w:rsidRPr="002B7F3F" w:rsidRDefault="00202DB5" w:rsidP="004D202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B7F3F"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562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首次现场服务态度</w:t>
            </w:r>
          </w:p>
        </w:tc>
        <w:tc>
          <w:tcPr>
            <w:tcW w:w="889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2B7F3F">
              <w:rPr>
                <w:rFonts w:ascii="仿宋_GB2312" w:eastAsia="仿宋_GB2312" w:cs="仿宋_GB2312" w:hint="eastAsia"/>
                <w:sz w:val="32"/>
                <w:szCs w:val="32"/>
              </w:rPr>
              <w:t>五星</w:t>
            </w:r>
          </w:p>
        </w:tc>
        <w:tc>
          <w:tcPr>
            <w:tcW w:w="3450" w:type="dxa"/>
          </w:tcPr>
          <w:p w:rsidR="00202DB5" w:rsidRPr="002B7F3F" w:rsidRDefault="00202DB5" w:rsidP="00F8729C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202DB5" w:rsidRPr="002B7F3F" w:rsidRDefault="00202DB5" w:rsidP="001B3CF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2B7F3F">
        <w:rPr>
          <w:rFonts w:ascii="仿宋_GB2312" w:eastAsia="仿宋_GB2312" w:cs="仿宋_GB2312" w:hint="eastAsia"/>
          <w:sz w:val="32"/>
          <w:szCs w:val="32"/>
        </w:rPr>
        <w:t>得分计算方法</w:t>
      </w:r>
    </w:p>
    <w:p w:rsidR="00202DB5" w:rsidRPr="002B7F3F" w:rsidRDefault="00202DB5" w:rsidP="001E06B5">
      <w:pPr>
        <w:tabs>
          <w:tab w:val="left" w:pos="630"/>
          <w:tab w:val="left" w:pos="840"/>
        </w:tabs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）采购单位对商品验收后，</w:t>
      </w:r>
      <w:r w:rsidRPr="002B7F3F">
        <w:rPr>
          <w:rFonts w:ascii="仿宋_GB2312" w:eastAsia="仿宋_GB2312" w:cs="仿宋_GB2312" w:hint="eastAsia"/>
          <w:sz w:val="32"/>
          <w:szCs w:val="32"/>
        </w:rPr>
        <w:t>依据</w:t>
      </w:r>
      <w:r>
        <w:rPr>
          <w:rFonts w:ascii="仿宋_GB2312" w:eastAsia="仿宋_GB2312" w:cs="仿宋_GB2312" w:hint="eastAsia"/>
          <w:sz w:val="32"/>
          <w:szCs w:val="32"/>
        </w:rPr>
        <w:t>评价</w:t>
      </w:r>
      <w:r w:rsidRPr="002B7F3F">
        <w:rPr>
          <w:rFonts w:ascii="仿宋_GB2312" w:eastAsia="仿宋_GB2312" w:cs="仿宋_GB2312" w:hint="eastAsia"/>
          <w:sz w:val="32"/>
          <w:szCs w:val="32"/>
        </w:rPr>
        <w:t>指标项</w:t>
      </w:r>
      <w:r>
        <w:rPr>
          <w:rFonts w:ascii="仿宋_GB2312" w:eastAsia="仿宋_GB2312" w:cs="仿宋_GB2312" w:hint="eastAsia"/>
          <w:sz w:val="32"/>
          <w:szCs w:val="32"/>
        </w:rPr>
        <w:t>对电商</w:t>
      </w:r>
      <w:r w:rsidRPr="002B7F3F">
        <w:rPr>
          <w:rFonts w:ascii="仿宋_GB2312" w:eastAsia="仿宋_GB2312" w:cs="仿宋_GB2312" w:hint="eastAsia"/>
          <w:sz w:val="32"/>
          <w:szCs w:val="32"/>
        </w:rPr>
        <w:t>进行星级评定。</w:t>
      </w:r>
    </w:p>
    <w:p w:rsidR="00202DB5" w:rsidRDefault="00202DB5" w:rsidP="001E06B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2B7F3F">
        <w:rPr>
          <w:rFonts w:ascii="仿宋_GB2312" w:eastAsia="仿宋_GB2312" w:cs="仿宋_GB2312" w:hint="eastAsia"/>
          <w:sz w:val="32"/>
          <w:szCs w:val="32"/>
        </w:rPr>
        <w:t>每颗星以</w:t>
      </w:r>
      <w:r w:rsidRPr="002B7F3F">
        <w:rPr>
          <w:rFonts w:ascii="仿宋_GB2312" w:eastAsia="仿宋_GB2312" w:cs="仿宋_GB2312"/>
          <w:sz w:val="32"/>
          <w:szCs w:val="32"/>
        </w:rPr>
        <w:t>8</w:t>
      </w:r>
      <w:r w:rsidRPr="002B7F3F">
        <w:rPr>
          <w:rFonts w:ascii="仿宋_GB2312" w:eastAsia="仿宋_GB2312" w:cs="仿宋_GB2312" w:hint="eastAsia"/>
          <w:sz w:val="32"/>
          <w:szCs w:val="32"/>
        </w:rPr>
        <w:t>分进行计算，即</w:t>
      </w:r>
      <w:r w:rsidRPr="002B7F3F">
        <w:rPr>
          <w:rFonts w:ascii="仿宋_GB2312" w:eastAsia="仿宋_GB2312" w:cs="仿宋_GB2312"/>
          <w:sz w:val="32"/>
          <w:szCs w:val="32"/>
        </w:rPr>
        <w:t>1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=8</w:t>
      </w:r>
      <w:r w:rsidRPr="002B7F3F">
        <w:rPr>
          <w:rFonts w:ascii="仿宋_GB2312" w:eastAsia="仿宋_GB2312" w:cs="仿宋_GB2312" w:hint="eastAsia"/>
          <w:sz w:val="32"/>
          <w:szCs w:val="32"/>
        </w:rPr>
        <w:t>分，</w:t>
      </w:r>
      <w:r w:rsidRPr="002B7F3F">
        <w:rPr>
          <w:rFonts w:ascii="仿宋_GB2312" w:eastAsia="仿宋_GB2312" w:cs="仿宋_GB2312"/>
          <w:sz w:val="32"/>
          <w:szCs w:val="32"/>
        </w:rPr>
        <w:t>2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=16</w:t>
      </w:r>
      <w:r w:rsidRPr="002B7F3F">
        <w:rPr>
          <w:rFonts w:ascii="仿宋_GB2312" w:eastAsia="仿宋_GB2312" w:cs="仿宋_GB2312" w:hint="eastAsia"/>
          <w:sz w:val="32"/>
          <w:szCs w:val="32"/>
        </w:rPr>
        <w:t>分，</w:t>
      </w:r>
      <w:r w:rsidRPr="002B7F3F">
        <w:rPr>
          <w:rFonts w:ascii="仿宋_GB2312" w:eastAsia="仿宋_GB2312" w:cs="仿宋_GB2312"/>
          <w:sz w:val="32"/>
          <w:szCs w:val="32"/>
        </w:rPr>
        <w:t>3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=24</w:t>
      </w:r>
      <w:r w:rsidRPr="002B7F3F">
        <w:rPr>
          <w:rFonts w:ascii="仿宋_GB2312" w:eastAsia="仿宋_GB2312" w:cs="仿宋_GB2312" w:hint="eastAsia"/>
          <w:sz w:val="32"/>
          <w:szCs w:val="32"/>
        </w:rPr>
        <w:t>分，</w:t>
      </w:r>
      <w:r w:rsidRPr="002B7F3F">
        <w:rPr>
          <w:rFonts w:ascii="仿宋_GB2312" w:eastAsia="仿宋_GB2312" w:cs="仿宋_GB2312"/>
          <w:sz w:val="32"/>
          <w:szCs w:val="32"/>
        </w:rPr>
        <w:t>4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=32</w:t>
      </w:r>
      <w:r w:rsidRPr="002B7F3F">
        <w:rPr>
          <w:rFonts w:ascii="仿宋_GB2312" w:eastAsia="仿宋_GB2312" w:cs="仿宋_GB2312" w:hint="eastAsia"/>
          <w:sz w:val="32"/>
          <w:szCs w:val="32"/>
        </w:rPr>
        <w:t>分，</w:t>
      </w:r>
      <w:r w:rsidRPr="002B7F3F">
        <w:rPr>
          <w:rFonts w:ascii="仿宋_GB2312" w:eastAsia="仿宋_GB2312" w:cs="仿宋_GB2312"/>
          <w:sz w:val="32"/>
          <w:szCs w:val="32"/>
        </w:rPr>
        <w:t>5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=40</w:t>
      </w:r>
      <w:r w:rsidRPr="002B7F3F">
        <w:rPr>
          <w:rFonts w:ascii="仿宋_GB2312" w:eastAsia="仿宋_GB2312" w:cs="仿宋_GB2312" w:hint="eastAsia"/>
          <w:sz w:val="32"/>
          <w:szCs w:val="32"/>
        </w:rPr>
        <w:t>分；电商的最高得分为</w:t>
      </w:r>
      <w:r w:rsidRPr="002B7F3F">
        <w:rPr>
          <w:rFonts w:ascii="仿宋_GB2312" w:eastAsia="仿宋_GB2312" w:cs="仿宋_GB2312"/>
          <w:sz w:val="32"/>
          <w:szCs w:val="32"/>
        </w:rPr>
        <w:t>40</w:t>
      </w:r>
      <w:r w:rsidRPr="002B7F3F">
        <w:rPr>
          <w:rFonts w:ascii="仿宋_GB2312" w:eastAsia="仿宋_GB2312" w:cs="仿宋_GB2312" w:hint="eastAsia"/>
          <w:sz w:val="32"/>
          <w:szCs w:val="32"/>
        </w:rPr>
        <w:t>分，最低得分为</w:t>
      </w:r>
      <w:r w:rsidRPr="002B7F3F">
        <w:rPr>
          <w:rFonts w:ascii="仿宋_GB2312" w:eastAsia="仿宋_GB2312" w:cs="仿宋_GB2312"/>
          <w:sz w:val="32"/>
          <w:szCs w:val="32"/>
        </w:rPr>
        <w:t>8</w:t>
      </w:r>
      <w:r w:rsidRPr="002B7F3F">
        <w:rPr>
          <w:rFonts w:ascii="仿宋_GB2312" w:eastAsia="仿宋_GB2312" w:cs="仿宋_GB2312" w:hint="eastAsia"/>
          <w:sz w:val="32"/>
          <w:szCs w:val="32"/>
        </w:rPr>
        <w:t>分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2B7F3F">
        <w:rPr>
          <w:rFonts w:ascii="仿宋_GB2312" w:eastAsia="仿宋_GB2312" w:cs="仿宋_GB2312"/>
          <w:sz w:val="32"/>
          <w:szCs w:val="32"/>
        </w:rPr>
        <w:t xml:space="preserve"> </w:t>
      </w:r>
    </w:p>
    <w:p w:rsidR="00202DB5" w:rsidRPr="000B26FE" w:rsidRDefault="00202DB5" w:rsidP="001E06B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0B26FE">
        <w:rPr>
          <w:rFonts w:ascii="仿宋_GB2312" w:eastAsia="仿宋_GB2312" w:cs="仿宋_GB2312" w:hint="eastAsia"/>
          <w:sz w:val="32"/>
          <w:szCs w:val="32"/>
        </w:rPr>
        <w:t>得分计算公式</w:t>
      </w:r>
    </w:p>
    <w:p w:rsidR="00202DB5" w:rsidRDefault="00202DB5" w:rsidP="001E06B5">
      <w:pPr>
        <w:ind w:left="640" w:hangingChars="200" w:hanging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2B7F3F">
        <w:rPr>
          <w:rFonts w:ascii="仿宋_GB2312" w:eastAsia="仿宋_GB2312" w:cs="仿宋_GB2312" w:hint="eastAsia"/>
          <w:sz w:val="32"/>
          <w:szCs w:val="32"/>
        </w:rPr>
        <w:t>单颗星的综合得分为：</w:t>
      </w:r>
      <w:r>
        <w:rPr>
          <w:rFonts w:ascii="仿宋_GB2312" w:eastAsia="仿宋_GB2312" w:cs="仿宋_GB2312" w:hint="eastAsia"/>
          <w:sz w:val="32"/>
          <w:szCs w:val="32"/>
        </w:rPr>
        <w:t>该星的评价总数除以所有星的评价总数，再乘以该星代表的分值。</w:t>
      </w:r>
    </w:p>
    <w:p w:rsidR="00202DB5" w:rsidRPr="002B7F3F" w:rsidRDefault="00202DB5" w:rsidP="001E06B5">
      <w:pPr>
        <w:ind w:leftChars="304" w:left="638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/>
          <w:sz w:val="32"/>
          <w:szCs w:val="32"/>
        </w:rPr>
        <w:t>Sn=sum(n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)/sum(S1...S5</w:t>
      </w:r>
      <w:r w:rsidRPr="002B7F3F">
        <w:rPr>
          <w:rFonts w:ascii="仿宋_GB2312" w:eastAsia="仿宋_GB2312" w:cs="仿宋_GB2312" w:hint="eastAsia"/>
          <w:sz w:val="32"/>
          <w:szCs w:val="32"/>
        </w:rPr>
        <w:t>星</w:t>
      </w:r>
      <w:r w:rsidRPr="002B7F3F">
        <w:rPr>
          <w:rFonts w:ascii="仿宋_GB2312" w:eastAsia="仿宋_GB2312" w:cs="仿宋_GB2312"/>
          <w:sz w:val="32"/>
          <w:szCs w:val="32"/>
        </w:rPr>
        <w:t>)*</w:t>
      </w:r>
      <w:r w:rsidRPr="002B7F3F">
        <w:rPr>
          <w:rFonts w:ascii="仿宋_GB2312" w:eastAsia="仿宋_GB2312" w:cs="仿宋_GB2312" w:hint="eastAsia"/>
          <w:sz w:val="32"/>
          <w:szCs w:val="32"/>
        </w:rPr>
        <w:t>分值</w:t>
      </w:r>
    </w:p>
    <w:p w:rsidR="00202DB5" w:rsidRDefault="00202DB5" w:rsidP="00F81797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2B7F3F">
        <w:rPr>
          <w:rFonts w:ascii="仿宋_GB2312" w:eastAsia="仿宋_GB2312" w:cs="仿宋_GB2312" w:hint="eastAsia"/>
          <w:sz w:val="32"/>
          <w:szCs w:val="32"/>
        </w:rPr>
        <w:t>电商的综合得分为：</w:t>
      </w:r>
      <w:r>
        <w:rPr>
          <w:rFonts w:ascii="仿宋_GB2312" w:eastAsia="仿宋_GB2312" w:cs="仿宋_GB2312" w:hint="eastAsia"/>
          <w:sz w:val="32"/>
          <w:szCs w:val="32"/>
        </w:rPr>
        <w:t>各星得分总和。</w:t>
      </w:r>
    </w:p>
    <w:p w:rsidR="00202DB5" w:rsidRPr="002B7F3F" w:rsidRDefault="00202DB5" w:rsidP="00F81797">
      <w:pPr>
        <w:ind w:firstLine="645"/>
        <w:rPr>
          <w:rFonts w:ascii="仿宋_GB2312" w:eastAsia="仿宋_GB2312" w:cs="仿宋_GB2312"/>
          <w:sz w:val="32"/>
          <w:szCs w:val="32"/>
        </w:rPr>
      </w:pPr>
      <w:r w:rsidRPr="002B7F3F">
        <w:rPr>
          <w:rFonts w:ascii="仿宋_GB2312" w:eastAsia="仿宋_GB2312" w:cs="仿宋_GB2312"/>
          <w:sz w:val="32"/>
          <w:szCs w:val="32"/>
        </w:rPr>
        <w:t>S=sum(S1...S5)</w:t>
      </w:r>
    </w:p>
    <w:p w:rsidR="00202DB5" w:rsidRPr="0046193D" w:rsidRDefault="00202DB5" w:rsidP="008E12B0">
      <w:pPr>
        <w:rPr>
          <w:rFonts w:cs="Times New Roman"/>
          <w:sz w:val="15"/>
          <w:szCs w:val="15"/>
        </w:rPr>
      </w:pPr>
      <w:r>
        <w:t xml:space="preserve">  </w:t>
      </w:r>
    </w:p>
    <w:p w:rsidR="00202DB5" w:rsidRPr="00177D9B" w:rsidRDefault="00202DB5" w:rsidP="00B702D2">
      <w:pPr>
        <w:pStyle w:val="1"/>
        <w:rPr>
          <w:rFonts w:cs="Times New Roman"/>
        </w:rPr>
      </w:pPr>
    </w:p>
    <w:sectPr w:rsidR="00202DB5" w:rsidRPr="00177D9B" w:rsidSect="00801379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05" w:rsidRDefault="00036E05" w:rsidP="00D647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36E05" w:rsidRDefault="00036E05" w:rsidP="00D647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B5" w:rsidRDefault="00675EEC" w:rsidP="006D5F78">
    <w:pPr>
      <w:pStyle w:val="a7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202D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4E70">
      <w:rPr>
        <w:rStyle w:val="a8"/>
        <w:noProof/>
      </w:rPr>
      <w:t>3</w:t>
    </w:r>
    <w:r>
      <w:rPr>
        <w:rStyle w:val="a8"/>
      </w:rPr>
      <w:fldChar w:fldCharType="end"/>
    </w:r>
  </w:p>
  <w:p w:rsidR="00202DB5" w:rsidRDefault="00202DB5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05" w:rsidRDefault="00036E05" w:rsidP="00D647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36E05" w:rsidRDefault="00036E05" w:rsidP="00D647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29C"/>
    <w:rsid w:val="00004FE2"/>
    <w:rsid w:val="00006E2D"/>
    <w:rsid w:val="000244D2"/>
    <w:rsid w:val="00036E05"/>
    <w:rsid w:val="00040977"/>
    <w:rsid w:val="000546A9"/>
    <w:rsid w:val="00081C75"/>
    <w:rsid w:val="00093FD7"/>
    <w:rsid w:val="00096D79"/>
    <w:rsid w:val="000B26FE"/>
    <w:rsid w:val="000B332D"/>
    <w:rsid w:val="000B595A"/>
    <w:rsid w:val="000B79EB"/>
    <w:rsid w:val="000F0ABB"/>
    <w:rsid w:val="00111453"/>
    <w:rsid w:val="0014125D"/>
    <w:rsid w:val="0015552B"/>
    <w:rsid w:val="001612A0"/>
    <w:rsid w:val="00173AD6"/>
    <w:rsid w:val="00177D9B"/>
    <w:rsid w:val="00197F0D"/>
    <w:rsid w:val="001A0994"/>
    <w:rsid w:val="001A2289"/>
    <w:rsid w:val="001B3CFF"/>
    <w:rsid w:val="001C1115"/>
    <w:rsid w:val="001E06B5"/>
    <w:rsid w:val="00202DB5"/>
    <w:rsid w:val="00217279"/>
    <w:rsid w:val="00265F23"/>
    <w:rsid w:val="00272366"/>
    <w:rsid w:val="002908CC"/>
    <w:rsid w:val="002B2B69"/>
    <w:rsid w:val="002B7F3F"/>
    <w:rsid w:val="002E6E03"/>
    <w:rsid w:val="002E73E1"/>
    <w:rsid w:val="002F502A"/>
    <w:rsid w:val="003031EA"/>
    <w:rsid w:val="00325BEE"/>
    <w:rsid w:val="0035481B"/>
    <w:rsid w:val="00373205"/>
    <w:rsid w:val="003A41B4"/>
    <w:rsid w:val="003B161F"/>
    <w:rsid w:val="003D0F48"/>
    <w:rsid w:val="003E0DE8"/>
    <w:rsid w:val="004029FF"/>
    <w:rsid w:val="0046193D"/>
    <w:rsid w:val="004B6FAA"/>
    <w:rsid w:val="004D2023"/>
    <w:rsid w:val="004F5565"/>
    <w:rsid w:val="00537B89"/>
    <w:rsid w:val="005629DB"/>
    <w:rsid w:val="00594D32"/>
    <w:rsid w:val="005A04DA"/>
    <w:rsid w:val="005A1BF0"/>
    <w:rsid w:val="005B4198"/>
    <w:rsid w:val="005B5FE0"/>
    <w:rsid w:val="005D0C1C"/>
    <w:rsid w:val="005E5D60"/>
    <w:rsid w:val="006074A9"/>
    <w:rsid w:val="0061360C"/>
    <w:rsid w:val="00637B02"/>
    <w:rsid w:val="0064679E"/>
    <w:rsid w:val="006577CE"/>
    <w:rsid w:val="00675EEC"/>
    <w:rsid w:val="00686E23"/>
    <w:rsid w:val="00692095"/>
    <w:rsid w:val="006924B4"/>
    <w:rsid w:val="006D00A1"/>
    <w:rsid w:val="006D173B"/>
    <w:rsid w:val="006D1876"/>
    <w:rsid w:val="006D5F78"/>
    <w:rsid w:val="007024CB"/>
    <w:rsid w:val="00726B46"/>
    <w:rsid w:val="00726DF9"/>
    <w:rsid w:val="00732D5C"/>
    <w:rsid w:val="0074155B"/>
    <w:rsid w:val="00790C10"/>
    <w:rsid w:val="0079425C"/>
    <w:rsid w:val="007B322B"/>
    <w:rsid w:val="007D2C28"/>
    <w:rsid w:val="007F1B72"/>
    <w:rsid w:val="007F47E6"/>
    <w:rsid w:val="00801379"/>
    <w:rsid w:val="0080153B"/>
    <w:rsid w:val="008058DE"/>
    <w:rsid w:val="00807829"/>
    <w:rsid w:val="00827016"/>
    <w:rsid w:val="0084510E"/>
    <w:rsid w:val="0087113C"/>
    <w:rsid w:val="00873C06"/>
    <w:rsid w:val="0088454D"/>
    <w:rsid w:val="008978CF"/>
    <w:rsid w:val="008A21CE"/>
    <w:rsid w:val="008B2657"/>
    <w:rsid w:val="008B427F"/>
    <w:rsid w:val="008D7269"/>
    <w:rsid w:val="008E12B0"/>
    <w:rsid w:val="00914BB4"/>
    <w:rsid w:val="009336DF"/>
    <w:rsid w:val="00934D11"/>
    <w:rsid w:val="00982EA5"/>
    <w:rsid w:val="009A5552"/>
    <w:rsid w:val="009B512D"/>
    <w:rsid w:val="009C20AF"/>
    <w:rsid w:val="009D0B01"/>
    <w:rsid w:val="00A2064D"/>
    <w:rsid w:val="00A4684F"/>
    <w:rsid w:val="00A47C71"/>
    <w:rsid w:val="00A55DA6"/>
    <w:rsid w:val="00A65734"/>
    <w:rsid w:val="00A72CC4"/>
    <w:rsid w:val="00A82166"/>
    <w:rsid w:val="00A9021A"/>
    <w:rsid w:val="00A91DFC"/>
    <w:rsid w:val="00AA2C16"/>
    <w:rsid w:val="00AE6328"/>
    <w:rsid w:val="00AF079A"/>
    <w:rsid w:val="00B104A0"/>
    <w:rsid w:val="00B53C91"/>
    <w:rsid w:val="00B60DDA"/>
    <w:rsid w:val="00B6398F"/>
    <w:rsid w:val="00B702D2"/>
    <w:rsid w:val="00B70ADD"/>
    <w:rsid w:val="00B774ED"/>
    <w:rsid w:val="00BA4E70"/>
    <w:rsid w:val="00BF76F8"/>
    <w:rsid w:val="00C2751E"/>
    <w:rsid w:val="00C52623"/>
    <w:rsid w:val="00C55B85"/>
    <w:rsid w:val="00C57F6F"/>
    <w:rsid w:val="00C74A85"/>
    <w:rsid w:val="00C929C9"/>
    <w:rsid w:val="00CB1AE1"/>
    <w:rsid w:val="00CB62BA"/>
    <w:rsid w:val="00CC1CE6"/>
    <w:rsid w:val="00CD435A"/>
    <w:rsid w:val="00D039BE"/>
    <w:rsid w:val="00D05725"/>
    <w:rsid w:val="00D21656"/>
    <w:rsid w:val="00D40065"/>
    <w:rsid w:val="00D40DD4"/>
    <w:rsid w:val="00D428D7"/>
    <w:rsid w:val="00D441D7"/>
    <w:rsid w:val="00D47D83"/>
    <w:rsid w:val="00D604F1"/>
    <w:rsid w:val="00D6478C"/>
    <w:rsid w:val="00D72EEA"/>
    <w:rsid w:val="00D87653"/>
    <w:rsid w:val="00D96200"/>
    <w:rsid w:val="00DA6C41"/>
    <w:rsid w:val="00DB5501"/>
    <w:rsid w:val="00DF4CCB"/>
    <w:rsid w:val="00DF773B"/>
    <w:rsid w:val="00E01241"/>
    <w:rsid w:val="00E01585"/>
    <w:rsid w:val="00E072C3"/>
    <w:rsid w:val="00E338B6"/>
    <w:rsid w:val="00E439FF"/>
    <w:rsid w:val="00E44C30"/>
    <w:rsid w:val="00E563FF"/>
    <w:rsid w:val="00E816C1"/>
    <w:rsid w:val="00EA140A"/>
    <w:rsid w:val="00EC2FD2"/>
    <w:rsid w:val="00EC3818"/>
    <w:rsid w:val="00EE5A9A"/>
    <w:rsid w:val="00EF10A7"/>
    <w:rsid w:val="00F06DCA"/>
    <w:rsid w:val="00F20795"/>
    <w:rsid w:val="00F2773A"/>
    <w:rsid w:val="00F324C0"/>
    <w:rsid w:val="00F62E28"/>
    <w:rsid w:val="00F66E72"/>
    <w:rsid w:val="00F71645"/>
    <w:rsid w:val="00F81797"/>
    <w:rsid w:val="00F82BF6"/>
    <w:rsid w:val="00F84C80"/>
    <w:rsid w:val="00F8729C"/>
    <w:rsid w:val="00FA5BE3"/>
    <w:rsid w:val="00FC0288"/>
    <w:rsid w:val="00FC278E"/>
    <w:rsid w:val="00FD046B"/>
    <w:rsid w:val="00FD369A"/>
    <w:rsid w:val="00FE5E8B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872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0137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BA4E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8729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01379"/>
    <w:rPr>
      <w:rFonts w:ascii="Cambria" w:eastAsia="宋体" w:hAnsi="Cambria" w:cs="Cambria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F8729C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F8729C"/>
    <w:rPr>
      <w:rFonts w:ascii="宋体" w:eastAsia="宋体" w:cs="宋体"/>
      <w:sz w:val="18"/>
      <w:szCs w:val="18"/>
    </w:rPr>
  </w:style>
  <w:style w:type="table" w:styleId="a4">
    <w:name w:val="Table Grid"/>
    <w:basedOn w:val="a1"/>
    <w:uiPriority w:val="99"/>
    <w:rsid w:val="00790C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790C1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790C1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D6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D6478C"/>
    <w:rPr>
      <w:sz w:val="18"/>
      <w:szCs w:val="18"/>
    </w:rPr>
  </w:style>
  <w:style w:type="paragraph" w:styleId="a7">
    <w:name w:val="footer"/>
    <w:basedOn w:val="a"/>
    <w:link w:val="Char2"/>
    <w:uiPriority w:val="99"/>
    <w:rsid w:val="00D6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D6478C"/>
    <w:rPr>
      <w:sz w:val="18"/>
      <w:szCs w:val="18"/>
    </w:rPr>
  </w:style>
  <w:style w:type="character" w:styleId="a8">
    <w:name w:val="page number"/>
    <w:basedOn w:val="a0"/>
    <w:uiPriority w:val="99"/>
    <w:rsid w:val="002B7F3F"/>
  </w:style>
  <w:style w:type="paragraph" w:styleId="a9">
    <w:name w:val="Revision"/>
    <w:hidden/>
    <w:uiPriority w:val="99"/>
    <w:semiHidden/>
    <w:rsid w:val="001E06B5"/>
    <w:rPr>
      <w:rFonts w:cs="Calibri"/>
      <w:kern w:val="2"/>
      <w:sz w:val="21"/>
      <w:szCs w:val="21"/>
    </w:rPr>
  </w:style>
  <w:style w:type="paragraph" w:styleId="aa">
    <w:name w:val="Subtitle"/>
    <w:basedOn w:val="a"/>
    <w:next w:val="a"/>
    <w:link w:val="Char3"/>
    <w:qFormat/>
    <w:locked/>
    <w:rsid w:val="00BA4E7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rsid w:val="00BA4E7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rsid w:val="00BA4E70"/>
    <w:rPr>
      <w:rFonts w:cs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344</Words>
  <Characters>1962</Characters>
  <Application>Microsoft Office Word</Application>
  <DocSecurity>0</DocSecurity>
  <Lines>16</Lines>
  <Paragraphs>4</Paragraphs>
  <ScaleCrop>false</ScaleCrop>
  <Company>se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河南省政府采购网上商城供应商评价规则</dc:title>
  <dc:subject/>
  <dc:creator>Jasmine</dc:creator>
  <cp:keywords/>
  <dc:description/>
  <cp:lastModifiedBy>Jasmine</cp:lastModifiedBy>
  <cp:revision>9</cp:revision>
  <cp:lastPrinted>2019-04-29T08:28:00Z</cp:lastPrinted>
  <dcterms:created xsi:type="dcterms:W3CDTF">2019-07-08T08:25:00Z</dcterms:created>
  <dcterms:modified xsi:type="dcterms:W3CDTF">2019-11-04T06:35:00Z</dcterms:modified>
</cp:coreProperties>
</file>